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54" w:lineRule="auto"/>
        <w:ind w:right="78" w:hanging="2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 do Regulaminu Konkursu Regrantingu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86" w:line="276" w:lineRule="auto"/>
        <w:ind w:hanging="2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78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REGULAMIN OCENY WNIOSKÓW KONKURS REGRANTINGU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„Siła Wspólnoty: Wsparcie lokalnych NGO dla osób z niepełnosprawnościami i ich otoczenia w województwie lubuskim i zachodniopomorskim poprzez regranting”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I.</w:t>
        <w:tab/>
        <w:t xml:space="preserve">GRUPA EKSPERTÓW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  <w:tab/>
        <w:t xml:space="preserve">Eksperci powołani przez Operatora tworzą Komisję Oceny Projektów i oceniają wnioski zgodnie z regulaminem.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  <w:tab/>
        <w:t xml:space="preserve">Eksperci korzystają z tych samych kryteriów oceny określonych w Karcie Oceny Merytorycznej.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</w:t>
        <w:tab/>
        <w:t xml:space="preserve">Ekspertami mogą być zarówno współpracownicy Operatora, jak i osoby z odpowiednimi kwalifikacjami i doświadczeniem do oceny wniosków.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  <w:tab/>
        <w:t xml:space="preserve">Eksperci nie mogą być powiązani z Wnioskodawcami stosunkiem osobistym lub służbowym takiego rodzaju, który mógłby podważyć ich bezstronność w ocenie.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</w:t>
        <w:tab/>
        <w:t xml:space="preserve">Eksperci są zobowiązani do podpisania deklaracji bezstronności, niezależności i poufności.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</w:t>
        <w:tab/>
        <w:t xml:space="preserve">Eksperci uczestniczący w konsultacjach na etapie przygotowania Wniosków nie dokonują oceny Wniosku tego samego Wnioskodawcy.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</w:t>
        <w:tab/>
        <w:t xml:space="preserve">Eksperci zobowiązują się do dokonania oceny osobiście, profesjonalnie, z należytą starannością na podstawie treści zawartych w Regulaminie Konkursu oraz ogłoszeniu o konkursie.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II.</w:t>
        <w:tab/>
        <w:t xml:space="preserve">OCENA FORMALNA WNIOSKÓW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  <w:tab/>
        <w:t xml:space="preserve">Ocena formalna Wniosków odbywa się niezwłocznie po zakończeniu naboru wniosków.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  <w:tab/>
        <w:t xml:space="preserve">Ocena formalna wniosków odbywa się według kryteriów z Karty Oceny Formalnej dołączonej do Regulaminu Konkursu.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       Operator dopuszcza możliwość jednokrotnej poprawy/uzupełnienia Wniosku lub złożenia wyjaśnień w terminie 7 dni od dnia wysłania w tym zakresie informacji drogą mailową na wskazany we wniosku adres. Brak poprawy, uzupełnienia lub wyjaśnień do wniosku we wskazanym terminie oznacza, że wniosek nie spełnia kryteriów formalnych i nie podlega dalszej ocenie. Wnioskodawca zostanie o tym fakcie poinformowany również drogą mailową.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  <w:tab/>
        <w:t xml:space="preserve">Do oceny merytorycznej trafiają wnioski wyłącznie z pozytywną oceną formalną.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III.</w:t>
        <w:tab/>
        <w:t xml:space="preserve">OCENA MERYTORYCZNA WNIOSKÓW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  <w:tab/>
        <w:t xml:space="preserve">Ocena merytoryczna Wniosków odbywa się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  <w:tab/>
        <w:t xml:space="preserve">Każdy Wniosek oceniany jest przez 2 Ekspertów. W przypadku jeżeli rozbieżność w ocenie wyniesie ponad 20 punktów wtedy wniosek zostanie oceniony dodatkowo przez 3 eksperta.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</w:t>
        <w:tab/>
        <w:t xml:space="preserve">Eksperci dokonują indywidualnej oceny punktowej oraz zamieszczają uzasadnienie w przypadku odjęcia punktów w poszczególnych kryteriach.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2.0000000000000284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3a. W ramach oceny merytorycznej Eksperci przyznają również punkty premiujące (max. 11 punktów) za elementy wzmacniające zgodność z celami konkursu,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2.0000000000000284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Punkty premiujące są przyznawane na podstawie uzasadnienia i dodawane do oceny merytorycznej (max. 100 punktów), co daje maksymalnie 111 punktów za wniosek.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  <w:tab/>
        <w:t xml:space="preserve">Ocenę końcową Wniosku stanowi średnia ze wszystkich ocen Ekspertów.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</w:t>
        <w:tab/>
        <w:t xml:space="preserve">Ekspert może rekomendować przyznanie grantów w pełnej lub niepełnej kwocie wnioskowanej przez Wnioskodawcę.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</w:t>
        <w:tab/>
        <w:t xml:space="preserve">Za poprawnie merytoryczny uznaje się Wniosek, który uzyskał minimum 60% punktów w ramach Kryteriów merytorycznych.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</w:t>
        <w:tab/>
        <w:t xml:space="preserve">Operator ma prawo zmienić kwotę dofinansowania zarekomendowaną przez Ekspertów.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          Wnioskodawca, któremu przyznano dotację w wysokości niższej niż wnioskowana w ofercie, zobowiązany jest do złożenia przed zawarciem umowy zaktualizowanego wniosku.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9.</w:t>
        <w:tab/>
        <w:t xml:space="preserve">Operator wskazuje do dofinansowania Wnioski z puli wniosków, które uzyskały minimum 60% punktów w ramach kryteriów merytorycznych, począwszy od Wniosku, który uzyskał największą ilość punktów, a skończywszy na Wniosku, który jako ostatni wyczerpuje pulę środków, jaką Operator zamierzał przeznaczyć w całym Konkursie Regrantingu.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9.</w:t>
        <w:tab/>
        <w:t xml:space="preserve">Karty Oceny Merytorycznej bez danych Eksperta mogą zostać udostępnione na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wniosek Wnioskodawcy.</w:t>
      </w:r>
    </w:p>
    <w:p w:rsidR="00000000" w:rsidDel="00000000" w:rsidP="00000000" w:rsidRDefault="00000000" w:rsidRPr="00000000" w14:paraId="00000025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IV.</w:t>
        <w:tab/>
        <w:t xml:space="preserve">WYNIKI OCENY</w:t>
      </w:r>
    </w:p>
    <w:p w:rsidR="00000000" w:rsidDel="00000000" w:rsidP="00000000" w:rsidRDefault="00000000" w:rsidRPr="00000000" w14:paraId="00000027">
      <w:pPr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</w:t>
        <w:tab/>
        <w:t xml:space="preserve">Operator  na</w:t>
        <w:tab/>
        <w:t xml:space="preserve">podstawie ocen Ekspertów</w:t>
        <w:tab/>
        <w:t xml:space="preserve">przedstawi Listę Wniosków rekomendowanych do dofinansowania.</w:t>
      </w:r>
    </w:p>
    <w:p w:rsidR="00000000" w:rsidDel="00000000" w:rsidP="00000000" w:rsidRDefault="00000000" w:rsidRPr="00000000" w14:paraId="00000029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</w:t>
        <w:tab/>
        <w:t xml:space="preserve">Na Liście Wniosków znajdują się wnioski ocenione formalnie i merytorycznie.</w:t>
      </w:r>
    </w:p>
    <w:p w:rsidR="00000000" w:rsidDel="00000000" w:rsidP="00000000" w:rsidRDefault="00000000" w:rsidRPr="00000000" w14:paraId="0000002A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</w:t>
        <w:tab/>
        <w:t xml:space="preserve">W przypadku uzyskania równej liczby punktów, o kolejności na Liście Wniosków</w:t>
      </w:r>
    </w:p>
    <w:p w:rsidR="00000000" w:rsidDel="00000000" w:rsidP="00000000" w:rsidRDefault="00000000" w:rsidRPr="00000000" w14:paraId="0000002B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rekomendowanych do dofinansowania decyduje Operator.</w:t>
      </w:r>
    </w:p>
    <w:p w:rsidR="00000000" w:rsidDel="00000000" w:rsidP="00000000" w:rsidRDefault="00000000" w:rsidRPr="00000000" w14:paraId="0000002C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</w:t>
        <w:tab/>
        <w:t xml:space="preserve">Nie ma możliwości odwołania się od ocen merytorycznych przyznanych przez Ekspertów.</w:t>
      </w:r>
    </w:p>
    <w:p w:rsidR="00000000" w:rsidDel="00000000" w:rsidP="00000000" w:rsidRDefault="00000000" w:rsidRPr="00000000" w14:paraId="0000002D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</w:t>
        <w:tab/>
        <w:t xml:space="preserve">Lista Wniosków rekomendowanych do dofinansowania zawierać będzie następujące informacje:</w:t>
      </w:r>
    </w:p>
    <w:p w:rsidR="00000000" w:rsidDel="00000000" w:rsidP="00000000" w:rsidRDefault="00000000" w:rsidRPr="00000000" w14:paraId="0000002E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</w:t>
        <w:tab/>
        <w:t xml:space="preserve">numer oferty,</w:t>
      </w:r>
    </w:p>
    <w:p w:rsidR="00000000" w:rsidDel="00000000" w:rsidP="00000000" w:rsidRDefault="00000000" w:rsidRPr="00000000" w14:paraId="0000002F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</w:t>
        <w:tab/>
        <w:t xml:space="preserve">nazwa Wnioskodawcy,</w:t>
      </w:r>
    </w:p>
    <w:p w:rsidR="00000000" w:rsidDel="00000000" w:rsidP="00000000" w:rsidRDefault="00000000" w:rsidRPr="00000000" w14:paraId="00000030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</w:t>
        <w:tab/>
        <w:t xml:space="preserve">tytuł Projektu,</w:t>
      </w:r>
    </w:p>
    <w:p w:rsidR="00000000" w:rsidDel="00000000" w:rsidP="00000000" w:rsidRDefault="00000000" w:rsidRPr="00000000" w14:paraId="00000031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</w:t>
        <w:tab/>
        <w:t xml:space="preserve">kwota przyznanego dofinansowania.</w:t>
      </w:r>
    </w:p>
    <w:p w:rsidR="00000000" w:rsidDel="00000000" w:rsidP="00000000" w:rsidRDefault="00000000" w:rsidRPr="00000000" w14:paraId="00000032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709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536"/>
        <w:tab w:val="right" w:leader="none" w:pos="9072"/>
      </w:tabs>
      <w:spacing w:after="160" w:line="256" w:lineRule="auto"/>
      <w:ind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color w:val="000000"/>
        <w:sz w:val="10"/>
        <w:szCs w:val="10"/>
        <w:rtl w:val="0"/>
      </w:rPr>
      <w:t xml:space="preserve">                 </w:t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Projekt „Siła Wspólnoty: Wsparcie lokalnych NGO dla osób z niepełnosprawnościami i ich otoczenia w województwie lubuskim i zachodniopomorskim poprzez regranting” realizowany od 1.09.2025 do 30.11.2026 przez Stowarzyszenie na Rzecz Edukacji „Pomost”- Lider oraz Zachodniopomorskie Centrum Innowacji -Partner  Dofinansowany przez Państwowy Fundusz Rehabilitacji Osób Niepełnosprawnych w ramach konkursu „Moc lokalnych inicjatyw” – edycja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-472438</wp:posOffset>
          </wp:positionH>
          <wp:positionV relativeFrom="paragraph">
            <wp:posOffset>-10793</wp:posOffset>
          </wp:positionV>
          <wp:extent cx="1781175" cy="718820"/>
          <wp:effectExtent b="0" l="0" r="0" t="0"/>
          <wp:wrapTopAndBottom distB="0" dist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718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4092575</wp:posOffset>
          </wp:positionH>
          <wp:positionV relativeFrom="paragraph">
            <wp:posOffset>-10158</wp:posOffset>
          </wp:positionV>
          <wp:extent cx="1666875" cy="838200"/>
          <wp:effectExtent b="0" l="0" r="0" t="0"/>
          <wp:wrapTopAndBottom distB="0" distT="0"/>
          <wp:docPr id="6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5"/>
      </w:tabs>
      <w:ind w:firstLine="0"/>
      <w:rPr>
        <w:rFonts w:ascii="Arial" w:cs="Arial" w:eastAsia="Arial" w:hAnsi="Arial"/>
        <w:color w:val="000000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descr="Bez tytułu" id="10" name="image4.png"/>
          <a:graphic>
            <a:graphicData uri="http://schemas.openxmlformats.org/drawingml/2006/picture">
              <pic:pic>
                <pic:nvPicPr>
                  <pic:cNvPr descr="Bez tytułu" id="0" name="image4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7" name="image4.png"/>
          <a:graphic>
            <a:graphicData uri="http://schemas.openxmlformats.org/drawingml/2006/picture">
              <pic:pic>
                <pic:nvPicPr>
                  <pic:cNvPr descr="Bez tytułu" id="0" name="image4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-3667757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4" name="image4.png"/>
          <a:graphic>
            <a:graphicData uri="http://schemas.openxmlformats.org/drawingml/2006/picture">
              <pic:pic>
                <pic:nvPicPr>
                  <pic:cNvPr descr="Bez tytułu" id="0" name="image4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-3950967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descr="Bez tytułu" id="8" name="image4.png"/>
          <a:graphic>
            <a:graphicData uri="http://schemas.openxmlformats.org/drawingml/2006/picture">
              <pic:pic>
                <pic:nvPicPr>
                  <pic:cNvPr descr="Bez tytułu" id="0" name="image4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-4791707</wp:posOffset>
          </wp:positionH>
          <wp:positionV relativeFrom="paragraph">
            <wp:posOffset>3606165</wp:posOffset>
          </wp:positionV>
          <wp:extent cx="7696200" cy="64770"/>
          <wp:effectExtent b="0" l="0" r="0" t="0"/>
          <wp:wrapNone/>
          <wp:docPr descr="Bez tytułu" id="3" name="image7.png"/>
          <a:graphic>
            <a:graphicData uri="http://schemas.openxmlformats.org/drawingml/2006/picture">
              <pic:pic>
                <pic:nvPicPr>
                  <pic:cNvPr descr="Bez tytułu" id="0" name="image7.png"/>
                  <pic:cNvPicPr preferRelativeResize="0"/>
                </pic:nvPicPr>
                <pic:blipFill>
                  <a:blip r:embed="rId4"/>
                  <a:srcRect b="49405" l="0" r="0" t="49405"/>
                  <a:stretch>
                    <a:fillRect/>
                  </a:stretch>
                </pic:blipFill>
                <pic:spPr>
                  <a:xfrm>
                    <a:off x="0" y="0"/>
                    <a:ext cx="7696200" cy="64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both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3969385</wp:posOffset>
          </wp:positionH>
          <wp:positionV relativeFrom="topMargin">
            <wp:posOffset>-1270632</wp:posOffset>
          </wp:positionV>
          <wp:extent cx="1789430" cy="412115"/>
          <wp:effectExtent b="0" l="0" r="0" t="0"/>
          <wp:wrapSquare wrapText="bothSides" distB="0" distT="0" distL="114300" distR="114300"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9430" cy="412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0</wp:posOffset>
          </wp:positionH>
          <wp:positionV relativeFrom="topMargin">
            <wp:posOffset>-1654172</wp:posOffset>
          </wp:positionV>
          <wp:extent cx="1000125" cy="90868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08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inline distB="19050" distT="19050" distL="19050" distR="19050">
          <wp:extent cx="819417" cy="816876"/>
          <wp:effectExtent b="0" l="0" r="0" t="0"/>
          <wp:docPr descr="Pomost_Logo_White_BG.png" id="5" name="image6.png"/>
          <a:graphic>
            <a:graphicData uri="http://schemas.openxmlformats.org/drawingml/2006/picture">
              <pic:pic>
                <pic:nvPicPr>
                  <pic:cNvPr descr="Pomost_Logo_White_BG.png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17" cy="816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3795395</wp:posOffset>
          </wp:positionH>
          <wp:positionV relativeFrom="paragraph">
            <wp:posOffset>349885</wp:posOffset>
          </wp:positionV>
          <wp:extent cx="1752600" cy="392430"/>
          <wp:effectExtent b="0" l="0" r="0" t="0"/>
          <wp:wrapSquare wrapText="bothSides" distB="19050" distT="19050" distL="19050" distR="19050"/>
          <wp:docPr descr="CKI-3.png" id="11" name="image2.png"/>
          <a:graphic>
            <a:graphicData uri="http://schemas.openxmlformats.org/drawingml/2006/picture">
              <pic:pic>
                <pic:nvPicPr>
                  <pic:cNvPr descr="CKI-3.png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392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0"/>
      <w:jc w:val="both"/>
      <w:rPr>
        <w:rFonts w:ascii="Arial" w:cs="Arial" w:eastAsia="Arial" w:hAnsi="Arial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8.png"/><Relationship Id="rId3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